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Interrogating ways of Knowing and Production as Forms of Healing: The Intersection(s) between la Tierra, Comunidad, y Educación</w:t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AAHHE Conference 2024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Poster/Art as Activism Proposal Rubric</w:t>
      </w:r>
    </w:p>
    <w:p w:rsidR="00000000" w:rsidDel="00000000" w:rsidP="00000000" w:rsidRDefault="00000000" w:rsidRPr="00000000" w14:paraId="00000006">
      <w:pPr>
        <w:widowControl w:val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Poster/Art as Activism Sessions</w:t>
      </w:r>
      <w:r w:rsidDel="00000000" w:rsidR="00000000" w:rsidRPr="00000000">
        <w:rPr>
          <w:sz w:val="24"/>
          <w:szCs w:val="24"/>
          <w:rtl w:val="0"/>
        </w:rPr>
        <w:t xml:space="preserve"> highlight critical questioning, research ideas, innovations, decolonizing approaches and advances for Latina/o/x/e communities. This session can also include original works of art or graphic design employing art as activism. Activist art is a “term used to describe art that is grounded in the act of ‘doing’ and addresses political or social issues” (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Bruguera</w:t>
        </w:r>
      </w:hyperlink>
      <w:r w:rsidDel="00000000" w:rsidR="00000000" w:rsidRPr="00000000">
        <w:rPr>
          <w:sz w:val="24"/>
          <w:szCs w:val="24"/>
          <w:rtl w:val="0"/>
        </w:rPr>
        <w:t xml:space="preserve">, n.d., para. 1). If submitting artwork, it should include language to support the imagery (</w:t>
      </w:r>
      <w:r w:rsidDel="00000000" w:rsidR="00000000" w:rsidRPr="00000000">
        <w:rPr>
          <w:sz w:val="24"/>
          <w:szCs w:val="24"/>
          <w:rtl w:val="0"/>
        </w:rPr>
        <w:t xml:space="preserve">i.e.,</w:t>
      </w:r>
      <w:r w:rsidDel="00000000" w:rsidR="00000000" w:rsidRPr="00000000">
        <w:rPr>
          <w:sz w:val="24"/>
          <w:szCs w:val="24"/>
          <w:rtl w:val="0"/>
        </w:rPr>
        <w:t xml:space="preserve"> QR code video explanation or written description complement). Presenter(s) allow the audience and attendees to engage in extended and meaningful discussion regarding the author’s presentation that is in illustrated format on a poster board. Posters should be 3’ x 4’ (36” x 48”) and will be placed on a board in a large hall. Presenter(s) are expected to be at their assigned presentation during the entire duration of the poster session. </w:t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750 – 1,000 words, the poster session proposal (for text-based submissions) should describe as many of the following as are applicable, preferably in this order:</w:t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Study significance and objectives in alignment with </w:t>
      </w:r>
      <w:r w:rsidDel="00000000" w:rsidR="00000000" w:rsidRPr="00000000">
        <w:rPr>
          <w:i w:val="1"/>
          <w:sz w:val="24"/>
          <w:szCs w:val="24"/>
          <w:rtl w:val="0"/>
        </w:rPr>
        <w:t xml:space="preserve">Interrogating Ways of Knowing &amp; Production as Forms of Healing: The Intersection(s) between la Tierra, Comunidad, y Educación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Research questions addressed.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Theoretical or conceptual framework, if applicable.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Connection to literature.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Anticipated or preliminary findings.</w:t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are submitting art as activism, in 750 – 1,000 words, the poster session proposal should describe as many of the following as are applicable, preferably in this order:</w:t>
      </w:r>
    </w:p>
    <w:p w:rsidR="00000000" w:rsidDel="00000000" w:rsidP="00000000" w:rsidRDefault="00000000" w:rsidRPr="00000000" w14:paraId="0000001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Artwork alignment with </w:t>
      </w:r>
      <w:r w:rsidDel="00000000" w:rsidR="00000000" w:rsidRPr="00000000">
        <w:rPr>
          <w:i w:val="1"/>
          <w:sz w:val="24"/>
          <w:szCs w:val="24"/>
          <w:rtl w:val="0"/>
        </w:rPr>
        <w:t xml:space="preserve">Interrogating Ways of Knowing &amp; Production as Forms of Healing: The Intersection(s) between la Tierra, Comunidad, y Educación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Activism-focused and addresses social issues.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Theoretical or conceptual framework, if applicable.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submit a digital copy of the original work. Security for original work can not be guaranteed.  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Artwork should be no larger than 3’ x 4’ (36” x 48”).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Poster proposals will be assessed based on the following criteria as:</w:t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Exceeds Expectations</w:t>
      </w:r>
      <w:r w:rsidDel="00000000" w:rsidR="00000000" w:rsidRPr="00000000">
        <w:rPr>
          <w:sz w:val="24"/>
          <w:szCs w:val="24"/>
          <w:rtl w:val="0"/>
        </w:rPr>
        <w:t xml:space="preserve"> = Information is very clear and readily comprehensible to 3 or more audiences (e.g., students, faculty, administrators, community members, etc.). Content advances new understandings and/or innovation for Latino/a/x/e communities. Attendees will achieve all stated learning outcomes/objectives. Proposal is in direct alignment with the conference theme.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Meets Expectations</w:t>
      </w:r>
      <w:r w:rsidDel="00000000" w:rsidR="00000000" w:rsidRPr="00000000">
        <w:rPr>
          <w:sz w:val="24"/>
          <w:szCs w:val="24"/>
          <w:rtl w:val="0"/>
        </w:rPr>
        <w:t xml:space="preserve"> = Information is clear and comprehensible to at least 2 audiences (e.g., students, faculty, etc.). Content aligns with current understandings and practices for working with Latino/a/x/e communities. Attendees will achieve most stated learning outcomes/objectives based on information provided. Proposal is aligned to the conference theme.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Needs Improvement</w:t>
      </w:r>
      <w:r w:rsidDel="00000000" w:rsidR="00000000" w:rsidRPr="00000000">
        <w:rPr>
          <w:sz w:val="24"/>
          <w:szCs w:val="24"/>
          <w:rtl w:val="0"/>
        </w:rPr>
        <w:t xml:space="preserve"> = Information needs to be clarified and is only understood by 1 audience. Content needs to be explained in greater detail in order to understand connection to higher education. It is unclear if/how attendees will achieve the stated learning outcomes/objectives. Proposal is only loosely aligned or is not in alignment with the conference theme.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Does Not Meet Expectations</w:t>
      </w:r>
      <w:r w:rsidDel="00000000" w:rsidR="00000000" w:rsidRPr="00000000">
        <w:rPr>
          <w:sz w:val="24"/>
          <w:szCs w:val="24"/>
          <w:rtl w:val="0"/>
        </w:rPr>
        <w:t xml:space="preserve"> = Information is unclear and incomprehensible. Content does not align with higher education. Attendees will not achieve stated learning outcomes/objectives. Proposal does not align with the conference theme.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515"/>
        <w:gridCol w:w="1830"/>
        <w:gridCol w:w="1830"/>
        <w:gridCol w:w="1830"/>
        <w:tblGridChange w:id="0">
          <w:tblGrid>
            <w:gridCol w:w="2325"/>
            <w:gridCol w:w="1515"/>
            <w:gridCol w:w="1830"/>
            <w:gridCol w:w="1830"/>
            <w:gridCol w:w="1830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Poster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Exceeds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Expectations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Meets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Expectations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Needs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Improvement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Does Not Meet Expectations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Significance of the study: Contributions to knowledge, theory, policy and/or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Alignment with the conference theme and 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Clear theoretical or conceptual frameworks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Connection to relevant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Soundness of the research approach (e.g., methodology), method(s), and analysis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Clarity of findings, whether partially or fully reported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Overall clarity of the proposal (e.g., quality of writing, organization of ideas, clarity of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assumptions, logic of arguments,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Recommendation: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Accept, Consider, Reject</w:t>
            </w:r>
          </w:p>
        </w:tc>
      </w:tr>
    </w:tbl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1620"/>
        <w:gridCol w:w="1560"/>
        <w:gridCol w:w="1830"/>
        <w:gridCol w:w="1830"/>
        <w:tblGridChange w:id="0">
          <w:tblGrid>
            <w:gridCol w:w="2490"/>
            <w:gridCol w:w="1620"/>
            <w:gridCol w:w="1560"/>
            <w:gridCol w:w="1830"/>
            <w:gridCol w:w="1830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 as Activism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Exceeds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Expectations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Meets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Expectations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Needs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Improvement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Does Not Meet Expectations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Significance of the art: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Its contribution (e.g., critical questioning of social issues, innovate perspectives to social movements, and/or decolonial approaches to healing)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to activism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Alignment with the conference theme and 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Clear theoretical or conceptual frameworks,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if applicable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Connection to relevant literature,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storytelling, ancestral knowledge, and/or collective experiences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i w:val="1"/>
                <w:strike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Soundness of the artwork and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its contribution (e.g., purpose, critical approach)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i w:val="1"/>
                <w:strike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Clarity of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artwork being activist-focused and/or social justice-oriented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Overall clarity of the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artwork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(e.g., quality of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presentation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, organization of ideas, clarity of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assumptions, logic of arguments,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Recommendation: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Accept, Consider, Reject</w:t>
            </w:r>
          </w:p>
        </w:tc>
      </w:tr>
    </w:tbl>
    <w:p w:rsidR="00000000" w:rsidDel="00000000" w:rsidP="00000000" w:rsidRDefault="00000000" w:rsidRPr="00000000" w14:paraId="0000008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ate.org.uk/art/art-terms/a/activist-art#:~:text=Activist%20art%20is%20a%20term,Twi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